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E4" w:rsidRPr="008A1C05" w:rsidRDefault="005F35E4" w:rsidP="005F35E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5" o:title=""/>
          </v:shape>
          <w:control r:id="rId6" w:name="DefaultOcxName44" w:shapeid="_x0000_i1035"/>
        </w:object>
      </w:r>
      <w:r w:rsidRPr="008A1C05">
        <w:rPr>
          <w:rFonts w:ascii="Arial" w:eastAsia="Times New Roman" w:hAnsi="Arial" w:cs="Arial"/>
          <w:sz w:val="20"/>
          <w:szCs w:val="20"/>
        </w:rPr>
        <w:t>3.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hyperlink r:id="rId7" w:tooltip="World journal of gastroenterology : WJG.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World J 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Gastroenterol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.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2012 Apr 21;18(15):1793-9.</w:t>
      </w:r>
    </w:p>
    <w:p w:rsidR="005F35E4" w:rsidRPr="008A1C05" w:rsidRDefault="005F35E4" w:rsidP="005F35E4">
      <w:pPr>
        <w:shd w:val="clear" w:color="auto" w:fill="FFFFFF"/>
        <w:spacing w:before="240" w:after="120" w:line="240" w:lineRule="auto"/>
        <w:ind w:left="1440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hyperlink r:id="rId8" w:history="1">
        <w:r w:rsidRPr="008A1C05">
          <w:rPr>
            <w:rFonts w:ascii="Arial" w:eastAsia="Times New Roman" w:hAnsi="Arial" w:cs="Arial"/>
            <w:b/>
            <w:bCs/>
            <w:color w:val="2F4A8B"/>
            <w:kern w:val="36"/>
            <w:sz w:val="28"/>
            <w:szCs w:val="28"/>
            <w:u w:val="single"/>
          </w:rPr>
          <w:t>Cyclooxygenase-2 expression as a predictor of outcome in colorectal carcinoma.</w:t>
        </w:r>
      </w:hyperlink>
    </w:p>
    <w:p w:rsidR="005F35E4" w:rsidRPr="008A1C05" w:rsidRDefault="005F35E4" w:rsidP="005F35E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hyperlink r:id="rId9" w:history="1">
        <w:r w:rsidRPr="008A1C05">
          <w:rPr>
            <w:rFonts w:ascii="Arial" w:eastAsia="Times New Roman" w:hAnsi="Arial" w:cs="Arial"/>
            <w:color w:val="2F4A8B"/>
            <w:sz w:val="20"/>
            <w:u w:val="single"/>
          </w:rPr>
          <w:t>Al-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u w:val="single"/>
          </w:rPr>
          <w:t>Maghrabi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u w:val="single"/>
          </w:rPr>
          <w:t xml:space="preserve"> J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0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Buhmeida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A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1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Emam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E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2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Syrjänen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K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3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Sibiany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A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4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Al-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Qahtani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M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, </w:t>
      </w:r>
      <w:hyperlink r:id="rId15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Al-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Ahwal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M</w:t>
        </w:r>
      </w:hyperlink>
      <w:r w:rsidRPr="008A1C05">
        <w:rPr>
          <w:rFonts w:ascii="Arial" w:eastAsia="Times New Roman" w:hAnsi="Arial" w:cs="Arial"/>
          <w:sz w:val="20"/>
          <w:szCs w:val="20"/>
        </w:rPr>
        <w:t>.</w:t>
      </w:r>
    </w:p>
    <w:p w:rsidR="005F35E4" w:rsidRPr="008A1C05" w:rsidRDefault="005F35E4" w:rsidP="005F35E4">
      <w:pPr>
        <w:shd w:val="clear" w:color="auto" w:fill="FFFFFF"/>
        <w:spacing w:before="308" w:after="154" w:line="240" w:lineRule="auto"/>
        <w:ind w:left="1440"/>
        <w:outlineLvl w:val="2"/>
        <w:rPr>
          <w:rFonts w:ascii="Arial" w:eastAsia="Times New Roman" w:hAnsi="Arial" w:cs="Arial"/>
          <w:b/>
          <w:bCs/>
          <w:color w:val="724128"/>
        </w:rPr>
      </w:pPr>
      <w:r w:rsidRPr="008A1C05">
        <w:rPr>
          <w:rFonts w:ascii="Arial" w:eastAsia="Times New Roman" w:hAnsi="Arial" w:cs="Arial"/>
          <w:b/>
          <w:bCs/>
          <w:color w:val="724128"/>
        </w:rPr>
        <w:t>Source</w:t>
      </w:r>
    </w:p>
    <w:p w:rsidR="005F35E4" w:rsidRPr="008A1C05" w:rsidRDefault="005F35E4" w:rsidP="005F35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Department of Pathology, King 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Abdulaziz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University, Jeddah 21589, Saudi Arabia. jalmaghrabi@hotmail.com</w:t>
      </w:r>
    </w:p>
    <w:p w:rsidR="005F35E4" w:rsidRPr="008A1C05" w:rsidRDefault="005F35E4" w:rsidP="005F35E4">
      <w:pPr>
        <w:shd w:val="clear" w:color="auto" w:fill="FFFFFF"/>
        <w:spacing w:before="308" w:after="154" w:line="240" w:lineRule="auto"/>
        <w:ind w:left="1440"/>
        <w:outlineLvl w:val="2"/>
        <w:rPr>
          <w:rFonts w:ascii="Arial" w:eastAsia="Times New Roman" w:hAnsi="Arial" w:cs="Arial"/>
          <w:b/>
          <w:bCs/>
          <w:color w:val="724128"/>
        </w:rPr>
      </w:pPr>
      <w:r w:rsidRPr="008A1C05">
        <w:rPr>
          <w:rFonts w:ascii="Arial" w:eastAsia="Times New Roman" w:hAnsi="Arial" w:cs="Arial"/>
          <w:b/>
          <w:bCs/>
          <w:color w:val="724128"/>
        </w:rPr>
        <w:t>Abstract</w:t>
      </w:r>
    </w:p>
    <w:p w:rsidR="005F35E4" w:rsidRPr="008A1C05" w:rsidRDefault="005F35E4" w:rsidP="005F35E4">
      <w:pPr>
        <w:shd w:val="clear" w:color="auto" w:fill="FFFFFF"/>
        <w:spacing w:before="332" w:after="166" w:line="240" w:lineRule="auto"/>
        <w:ind w:left="1440"/>
        <w:outlineLvl w:val="3"/>
        <w:rPr>
          <w:rFonts w:ascii="Arial" w:eastAsia="Times New Roman" w:hAnsi="Arial" w:cs="Arial"/>
          <w:b/>
          <w:bCs/>
          <w:color w:val="59331F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59331F"/>
          <w:sz w:val="20"/>
          <w:szCs w:val="20"/>
        </w:rPr>
        <w:t xml:space="preserve">AIM: </w:t>
      </w:r>
    </w:p>
    <w:p w:rsidR="005F35E4" w:rsidRPr="008A1C05" w:rsidRDefault="005F35E4" w:rsidP="005F35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>To correlate cyclooxygenase-2 (COX-2) expression profile with clinical and pathological variables to assess their prognostic/predictive value in colorectal carcinoma (CRC).</w:t>
      </w:r>
    </w:p>
    <w:p w:rsidR="005F35E4" w:rsidRPr="008A1C05" w:rsidRDefault="005F35E4" w:rsidP="005F35E4">
      <w:pPr>
        <w:shd w:val="clear" w:color="auto" w:fill="FFFFFF"/>
        <w:spacing w:before="332" w:after="166" w:line="240" w:lineRule="auto"/>
        <w:ind w:left="1440"/>
        <w:outlineLvl w:val="3"/>
        <w:rPr>
          <w:rFonts w:ascii="Arial" w:eastAsia="Times New Roman" w:hAnsi="Arial" w:cs="Arial"/>
          <w:b/>
          <w:bCs/>
          <w:color w:val="59331F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59331F"/>
          <w:sz w:val="20"/>
          <w:szCs w:val="20"/>
        </w:rPr>
        <w:t xml:space="preserve">METHODS: </w:t>
      </w:r>
    </w:p>
    <w:p w:rsidR="005F35E4" w:rsidRPr="008A1C05" w:rsidRDefault="005F35E4" w:rsidP="005F35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Archival tumor samples were analyzed using 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immunohistochemistry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for COX-2 expression in 94 patients with CRC. Patients were diagnosed and treated at the Departments of Surgery and Oncology, King 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Abdulaziz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University Hospital, Saudi Arabia.</w:t>
      </w:r>
    </w:p>
    <w:p w:rsidR="005F35E4" w:rsidRPr="008A1C05" w:rsidRDefault="005F35E4" w:rsidP="005F35E4">
      <w:pPr>
        <w:shd w:val="clear" w:color="auto" w:fill="FFFFFF"/>
        <w:spacing w:before="332" w:after="166" w:line="240" w:lineRule="auto"/>
        <w:ind w:left="1440"/>
        <w:outlineLvl w:val="3"/>
        <w:rPr>
          <w:rFonts w:ascii="Arial" w:eastAsia="Times New Roman" w:hAnsi="Arial" w:cs="Arial"/>
          <w:b/>
          <w:bCs/>
          <w:color w:val="59331F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59331F"/>
          <w:sz w:val="20"/>
          <w:szCs w:val="20"/>
        </w:rPr>
        <w:t xml:space="preserve">RESULTS: </w:t>
      </w:r>
    </w:p>
    <w:p w:rsidR="005F35E4" w:rsidRPr="008A1C05" w:rsidRDefault="005F35E4" w:rsidP="005F35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Fifty-six percent of the tumors showed positive 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cytoplasmic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COX-2 expression, whereas 44% of cases were completely COX-2-negative. There were no significant correlations between COX-2 expression and sex, age, grade or tumor location. However, COX-2 expression revealed a significant correlation with tumor stage (P = 0.01) and distant metastasis (P = 0.02), and a borderline association with lymph node involvement (P = 0.07). Tumors with high COX-2 expression showed a higher recurrence rate than tumors with no expression (P &lt; 0.009). In 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univariate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Kaplan-Meier survival analysis, there was a significant (P = 0.026) difference in disease-free survival between COX-2-positive and negative tumors in favor of the latter. COX-2 expression did not significantly predict disease-specific survival, which was much shorter for COX-2-positive tumors. In multivariate (COX) models, COX-2 did not appear among the independent predictors of disease-free survival or disease-specific survival.</w:t>
      </w:r>
    </w:p>
    <w:p w:rsidR="005F35E4" w:rsidRPr="008A1C05" w:rsidRDefault="005F35E4" w:rsidP="005F35E4">
      <w:pPr>
        <w:shd w:val="clear" w:color="auto" w:fill="FFFFFF"/>
        <w:spacing w:before="332" w:after="166" w:line="240" w:lineRule="auto"/>
        <w:ind w:left="1440"/>
        <w:outlineLvl w:val="3"/>
        <w:rPr>
          <w:rFonts w:ascii="Arial" w:eastAsia="Times New Roman" w:hAnsi="Arial" w:cs="Arial"/>
          <w:b/>
          <w:bCs/>
          <w:color w:val="59331F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59331F"/>
          <w:sz w:val="20"/>
          <w:szCs w:val="20"/>
        </w:rPr>
        <w:t xml:space="preserve">CONCLUSION: </w:t>
      </w:r>
    </w:p>
    <w:p w:rsidR="005F35E4" w:rsidRPr="008A1C05" w:rsidRDefault="005F35E4" w:rsidP="005F35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>COX-2 expression seems to provide useful prognostic information in CRC, while predicting the patients at high risk for recurrent disease.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PMID: 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22553404 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>[</w:t>
      </w:r>
      <w:proofErr w:type="spellStart"/>
      <w:r w:rsidRPr="008A1C05">
        <w:rPr>
          <w:rFonts w:ascii="Arial" w:eastAsia="Times New Roman" w:hAnsi="Arial" w:cs="Arial"/>
          <w:sz w:val="20"/>
          <w:szCs w:val="20"/>
        </w:rPr>
        <w:t>PubMed</w:t>
      </w:r>
      <w:proofErr w:type="spellEnd"/>
      <w:r w:rsidRPr="008A1C05">
        <w:rPr>
          <w:rFonts w:ascii="Arial" w:eastAsia="Times New Roman" w:hAnsi="Arial" w:cs="Arial"/>
          <w:sz w:val="20"/>
          <w:szCs w:val="20"/>
        </w:rPr>
        <w:t xml:space="preserve"> - indexed for MEDLINE] 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t xml:space="preserve">PMCID: 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8A1C05">
        <w:rPr>
          <w:rFonts w:ascii="Arial" w:eastAsia="Times New Roman" w:hAnsi="Arial" w:cs="Arial"/>
          <w:sz w:val="20"/>
          <w:szCs w:val="20"/>
        </w:rPr>
        <w:lastRenderedPageBreak/>
        <w:t xml:space="preserve">PMC3332293 </w:t>
      </w:r>
    </w:p>
    <w:p w:rsidR="005F35E4" w:rsidRPr="008A1C05" w:rsidRDefault="005F35E4" w:rsidP="005F35E4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sz w:val="20"/>
          <w:szCs w:val="20"/>
        </w:rPr>
      </w:pPr>
      <w:hyperlink r:id="rId16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Free PMC Article</w:t>
        </w:r>
      </w:hyperlink>
    </w:p>
    <w:p w:rsidR="005F35E4" w:rsidRPr="008A1C05" w:rsidRDefault="005F35E4" w:rsidP="005F35E4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sz w:val="20"/>
          <w:szCs w:val="20"/>
        </w:rPr>
      </w:pPr>
      <w:hyperlink r:id="rId17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Related citations</w:t>
        </w:r>
      </w:hyperlink>
    </w:p>
    <w:p w:rsidR="005F35E4" w:rsidRPr="008A1C05" w:rsidRDefault="005F35E4" w:rsidP="005F35E4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2F4A8B"/>
          <w:sz w:val="20"/>
          <w:szCs w:val="20"/>
        </w:rPr>
        <w:drawing>
          <wp:inline distT="0" distB="0" distL="0" distR="0">
            <wp:extent cx="1143000" cy="266700"/>
            <wp:effectExtent l="19050" t="0" r="0" b="0"/>
            <wp:docPr id="4" name="linkout-icon-unknown-bpg" descr="Icon for Baishideng Publishing Group Co., Limited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out-icon-unknown-bpg" descr="Icon for Baishideng Publishing Group Co., Limited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F4A8B"/>
          <w:sz w:val="20"/>
          <w:szCs w:val="20"/>
        </w:rPr>
        <w:drawing>
          <wp:inline distT="0" distB="0" distL="0" distR="0">
            <wp:extent cx="1143000" cy="266700"/>
            <wp:effectExtent l="19050" t="0" r="0" b="0"/>
            <wp:docPr id="5" name="linkout-icon-unknown-pmc" descr="Icon for PubMed Central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out-icon-unknown-pmc" descr="Icon for PubMed Central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5E4" w:rsidRPr="008A1C05" w:rsidRDefault="005F35E4" w:rsidP="005F35E4">
      <w:pPr>
        <w:shd w:val="clear" w:color="auto" w:fill="FFFFFF"/>
        <w:spacing w:before="308" w:after="154" w:line="240" w:lineRule="auto"/>
        <w:ind w:left="2640"/>
        <w:outlineLvl w:val="2"/>
        <w:rPr>
          <w:rFonts w:ascii="Arial" w:eastAsia="Times New Roman" w:hAnsi="Arial" w:cs="Arial"/>
          <w:b/>
          <w:bCs/>
          <w:color w:val="724128"/>
        </w:rPr>
      </w:pPr>
      <w:hyperlink r:id="rId22" w:tooltip="Supplemental information" w:history="1">
        <w:r w:rsidRPr="008A1C05">
          <w:rPr>
            <w:rFonts w:ascii="Arial" w:eastAsia="Times New Roman" w:hAnsi="Arial" w:cs="Arial"/>
            <w:b/>
            <w:bCs/>
            <w:color w:val="2F4A8B"/>
            <w:u w:val="single"/>
          </w:rPr>
          <w:t xml:space="preserve">Publication Types, </w:t>
        </w:r>
        <w:proofErr w:type="spellStart"/>
        <w:r w:rsidRPr="008A1C05">
          <w:rPr>
            <w:rFonts w:ascii="Arial" w:eastAsia="Times New Roman" w:hAnsi="Arial" w:cs="Arial"/>
            <w:b/>
            <w:bCs/>
            <w:color w:val="2F4A8B"/>
            <w:u w:val="single"/>
          </w:rPr>
          <w:t>MeSH</w:t>
        </w:r>
        <w:proofErr w:type="spellEnd"/>
        <w:r w:rsidRPr="008A1C05">
          <w:rPr>
            <w:rFonts w:ascii="Arial" w:eastAsia="Times New Roman" w:hAnsi="Arial" w:cs="Arial"/>
            <w:b/>
            <w:bCs/>
            <w:color w:val="2F4A8B"/>
            <w:u w:val="single"/>
          </w:rPr>
          <w:t xml:space="preserve"> Terms, Substances</w:t>
        </w:r>
      </w:hyperlink>
    </w:p>
    <w:p w:rsidR="005F35E4" w:rsidRPr="008A1C05" w:rsidRDefault="005F35E4" w:rsidP="005F35E4">
      <w:pPr>
        <w:shd w:val="clear" w:color="auto" w:fill="FFFFFF"/>
        <w:spacing w:before="120" w:after="0" w:line="240" w:lineRule="auto"/>
        <w:ind w:left="2640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Publication Types</w:t>
      </w:r>
    </w:p>
    <w:p w:rsidR="005F35E4" w:rsidRPr="008A1C05" w:rsidRDefault="005F35E4" w:rsidP="005F3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3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Research Support, Non-U.S. 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Gov't</w:t>
        </w:r>
        <w:proofErr w:type="spellEnd"/>
      </w:hyperlink>
    </w:p>
    <w:p w:rsidR="005F35E4" w:rsidRPr="008A1C05" w:rsidRDefault="005F35E4" w:rsidP="005F35E4">
      <w:pPr>
        <w:shd w:val="clear" w:color="auto" w:fill="FFFFFF"/>
        <w:spacing w:before="120" w:after="0" w:line="240" w:lineRule="auto"/>
        <w:ind w:left="2640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8A1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MeSH</w:t>
      </w:r>
      <w:proofErr w:type="spellEnd"/>
      <w:r w:rsidRPr="008A1C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Terms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4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Adult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5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Aged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6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Aged, 80 and over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7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Colorectal 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Neoplasms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/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enzymology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*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8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Colorectal 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Neoplasms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/mortality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29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Colorectal </w:t>
        </w:r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Neoplasms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/pathology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0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Cyclooxygenase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2/analysis*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1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Female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2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Humans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3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Immunohistochemistry</w:t>
        </w:r>
        <w:proofErr w:type="spellEnd"/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4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Kaplan-Meier Estimate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5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Male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6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Middle Aged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7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Neoplasm Staging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8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Prognosis</w:t>
        </w:r>
      </w:hyperlink>
    </w:p>
    <w:p w:rsidR="005F35E4" w:rsidRPr="008A1C05" w:rsidRDefault="005F35E4" w:rsidP="005F35E4">
      <w:pPr>
        <w:shd w:val="clear" w:color="auto" w:fill="FFFFFF"/>
        <w:spacing w:before="120" w:after="0" w:line="240" w:lineRule="auto"/>
        <w:ind w:left="2640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A1C05">
        <w:rPr>
          <w:rFonts w:ascii="Arial" w:eastAsia="Times New Roman" w:hAnsi="Arial" w:cs="Arial"/>
          <w:b/>
          <w:bCs/>
          <w:color w:val="000000"/>
          <w:sz w:val="20"/>
          <w:szCs w:val="20"/>
        </w:rPr>
        <w:t>Substances</w:t>
      </w:r>
    </w:p>
    <w:p w:rsidR="005F35E4" w:rsidRPr="008A1C05" w:rsidRDefault="005F35E4" w:rsidP="005F3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39" w:history="1">
        <w:proofErr w:type="spellStart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Cyclooxygenase</w:t>
        </w:r>
        <w:proofErr w:type="spellEnd"/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 xml:space="preserve"> 2</w:t>
        </w:r>
      </w:hyperlink>
      <w:r w:rsidRPr="008A1C05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5E4" w:rsidRPr="008A1C05" w:rsidRDefault="005F35E4" w:rsidP="005F3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  <w:hyperlink r:id="rId40" w:history="1">
        <w:r w:rsidRPr="008A1C05">
          <w:rPr>
            <w:rFonts w:ascii="Arial" w:eastAsia="Times New Roman" w:hAnsi="Arial" w:cs="Arial"/>
            <w:color w:val="2F4A8B"/>
            <w:sz w:val="20"/>
            <w:szCs w:val="20"/>
            <w:u w:val="single"/>
          </w:rPr>
          <w:t>PTGS2 protein, human</w:t>
        </w:r>
      </w:hyperlink>
    </w:p>
    <w:p w:rsidR="005F35E4" w:rsidRPr="008A1C05" w:rsidRDefault="005F35E4" w:rsidP="005F3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20" w:right="242"/>
        <w:rPr>
          <w:rFonts w:ascii="Arial" w:eastAsia="Times New Roman" w:hAnsi="Arial" w:cs="Arial"/>
          <w:sz w:val="20"/>
          <w:szCs w:val="20"/>
        </w:rPr>
      </w:pPr>
    </w:p>
    <w:p w:rsidR="001544CE" w:rsidRPr="005F35E4" w:rsidRDefault="001544CE" w:rsidP="005F35E4"/>
    <w:sectPr w:rsidR="001544CE" w:rsidRPr="005F35E4" w:rsidSect="00D841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4BE"/>
    <w:multiLevelType w:val="multilevel"/>
    <w:tmpl w:val="F16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0624FC"/>
    <w:multiLevelType w:val="multilevel"/>
    <w:tmpl w:val="270A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277915"/>
    <w:multiLevelType w:val="multilevel"/>
    <w:tmpl w:val="E30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3A04D2"/>
    <w:multiLevelType w:val="multilevel"/>
    <w:tmpl w:val="28E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676267"/>
    <w:rsid w:val="001544CE"/>
    <w:rsid w:val="00534E34"/>
    <w:rsid w:val="005F35E4"/>
    <w:rsid w:val="00676267"/>
    <w:rsid w:val="00D84149"/>
    <w:rsid w:val="00E9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553404" TargetMode="External"/><Relationship Id="rId13" Type="http://schemas.openxmlformats.org/officeDocument/2006/relationships/hyperlink" Target="http://www.ncbi.nlm.nih.gov/pubmed?term=Sibiany%20A%5BAuthor%5D&amp;cauthor=true&amp;cauthor_uid=23010642" TargetMode="External"/><Relationship Id="rId18" Type="http://schemas.openxmlformats.org/officeDocument/2006/relationships/hyperlink" Target="http://www.wjgnet.com/1007-9327/full/v18/i15/1793.htm" TargetMode="External"/><Relationship Id="rId26" Type="http://schemas.openxmlformats.org/officeDocument/2006/relationships/hyperlink" Target="http://www.ncbi.nlm.nih.gov/pubmed" TargetMode="External"/><Relationship Id="rId39" Type="http://schemas.openxmlformats.org/officeDocument/2006/relationships/hyperlink" Target="http://www.ncbi.nlm.nih.gov/pubme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34" Type="http://schemas.openxmlformats.org/officeDocument/2006/relationships/hyperlink" Target="http://www.ncbi.nlm.nih.gov/pubme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ncbi.nlm.nih.gov/pubmed" TargetMode="External"/><Relationship Id="rId12" Type="http://schemas.openxmlformats.org/officeDocument/2006/relationships/hyperlink" Target="http://www.ncbi.nlm.nih.gov/pubmed?term=Syrj%C3%A4nen%20K%5BAuthor%5D&amp;cauthor=true&amp;cauthor_uid=23010642" TargetMode="External"/><Relationship Id="rId17" Type="http://schemas.openxmlformats.org/officeDocument/2006/relationships/hyperlink" Target="http://www.ncbi.nlm.nih.gov/pubmed?linkname=pubmed_pubmed&amp;from_uid=22553404" TargetMode="External"/><Relationship Id="rId25" Type="http://schemas.openxmlformats.org/officeDocument/2006/relationships/hyperlink" Target="http://www.ncbi.nlm.nih.gov/pubmed" TargetMode="External"/><Relationship Id="rId33" Type="http://schemas.openxmlformats.org/officeDocument/2006/relationships/hyperlink" Target="http://www.ncbi.nlm.nih.gov/pubmed" TargetMode="External"/><Relationship Id="rId38" Type="http://schemas.openxmlformats.org/officeDocument/2006/relationships/hyperlink" Target="http://www.ncbi.nlm.nih.gov/pubme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mc/articles/PMC3332293/" TargetMode="External"/><Relationship Id="rId20" Type="http://schemas.openxmlformats.org/officeDocument/2006/relationships/hyperlink" Target="http://www.ncbi.nlm.nih.gov/pmc/articles/pmid/22553404/" TargetMode="External"/><Relationship Id="rId29" Type="http://schemas.openxmlformats.org/officeDocument/2006/relationships/hyperlink" Target="http://www.ncbi.nlm.nih.gov/pubmed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ncbi.nlm.nih.gov/pubmed?term=Emam%20E%5BAuthor%5D&amp;cauthor=true&amp;cauthor_uid=23010642" TargetMode="External"/><Relationship Id="rId24" Type="http://schemas.openxmlformats.org/officeDocument/2006/relationships/hyperlink" Target="http://www.ncbi.nlm.nih.gov/pubmed" TargetMode="External"/><Relationship Id="rId32" Type="http://schemas.openxmlformats.org/officeDocument/2006/relationships/hyperlink" Target="http://www.ncbi.nlm.nih.gov/pubmed" TargetMode="External"/><Relationship Id="rId37" Type="http://schemas.openxmlformats.org/officeDocument/2006/relationships/hyperlink" Target="http://www.ncbi.nlm.nih.gov/pubmed" TargetMode="External"/><Relationship Id="rId40" Type="http://schemas.openxmlformats.org/officeDocument/2006/relationships/hyperlink" Target="http://www.ncbi.nlm.nih.gov/pubmed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ncbi.nlm.nih.gov/pubmed?term=Al-Ahwal%20M%5BAuthor%5D&amp;cauthor=true&amp;cauthor_uid=23010642" TargetMode="External"/><Relationship Id="rId23" Type="http://schemas.openxmlformats.org/officeDocument/2006/relationships/hyperlink" Target="http://www.ncbi.nlm.nih.gov/pubmed" TargetMode="External"/><Relationship Id="rId28" Type="http://schemas.openxmlformats.org/officeDocument/2006/relationships/hyperlink" Target="http://www.ncbi.nlm.nih.gov/pubmed" TargetMode="External"/><Relationship Id="rId36" Type="http://schemas.openxmlformats.org/officeDocument/2006/relationships/hyperlink" Target="http://www.ncbi.nlm.nih.gov/pubmed" TargetMode="External"/><Relationship Id="rId10" Type="http://schemas.openxmlformats.org/officeDocument/2006/relationships/hyperlink" Target="http://www.ncbi.nlm.nih.gov/pubmed?term=Buhmeida%20A%5BAuthor%5D&amp;cauthor=true&amp;cauthor_uid=23010642" TargetMode="External"/><Relationship Id="rId19" Type="http://schemas.openxmlformats.org/officeDocument/2006/relationships/image" Target="media/image2.gif"/><Relationship Id="rId31" Type="http://schemas.openxmlformats.org/officeDocument/2006/relationships/hyperlink" Target="http://www.ncbi.nlm.nih.gov/pub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Al-Maghrabi%20J%5BAuthor%5D&amp;cauthor=true&amp;cauthor_uid=23010642" TargetMode="External"/><Relationship Id="rId14" Type="http://schemas.openxmlformats.org/officeDocument/2006/relationships/hyperlink" Target="http://www.ncbi.nlm.nih.gov/pubmed?term=Al-Qahtani%20M%5BAuthor%5D&amp;cauthor=true&amp;cauthor_uid=23010642" TargetMode="External"/><Relationship Id="rId22" Type="http://schemas.openxmlformats.org/officeDocument/2006/relationships/hyperlink" Target="http://www.ncbi.nlm.nih.gov/pubmed" TargetMode="External"/><Relationship Id="rId27" Type="http://schemas.openxmlformats.org/officeDocument/2006/relationships/hyperlink" Target="http://www.ncbi.nlm.nih.gov/pubmed" TargetMode="External"/><Relationship Id="rId30" Type="http://schemas.openxmlformats.org/officeDocument/2006/relationships/hyperlink" Target="http://www.ncbi.nlm.nih.gov/pubmed" TargetMode="External"/><Relationship Id="rId35" Type="http://schemas.openxmlformats.org/officeDocument/2006/relationships/hyperlink" Target="http://www.ncbi.nlm.nih.gov/pubme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</dc:creator>
  <cp:lastModifiedBy>Esraa</cp:lastModifiedBy>
  <cp:revision>2</cp:revision>
  <dcterms:created xsi:type="dcterms:W3CDTF">2012-11-25T12:59:00Z</dcterms:created>
  <dcterms:modified xsi:type="dcterms:W3CDTF">2012-11-25T12:59:00Z</dcterms:modified>
</cp:coreProperties>
</file>